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E3A" w:rsidRPr="00104E3A" w:rsidRDefault="00104E3A" w:rsidP="00104E3A">
      <w:pPr>
        <w:widowControl/>
        <w:shd w:val="clear" w:color="auto" w:fill="FFFFFF"/>
        <w:jc w:val="center"/>
        <w:rPr>
          <w:rFonts w:ascii="黑体" w:eastAsia="黑体" w:hAnsi="黑体" w:cs="Arial"/>
          <w:b/>
          <w:color w:val="000000"/>
          <w:kern w:val="0"/>
          <w:sz w:val="30"/>
          <w:szCs w:val="30"/>
        </w:rPr>
      </w:pPr>
      <w:r w:rsidRPr="00104E3A">
        <w:rPr>
          <w:rFonts w:ascii="黑体" w:eastAsia="黑体" w:hAnsi="黑体" w:cs="Arial"/>
          <w:b/>
          <w:color w:val="000000"/>
          <w:kern w:val="0"/>
          <w:sz w:val="30"/>
          <w:szCs w:val="30"/>
        </w:rPr>
        <w:t>广州恒运企业集团股份有限公司</w:t>
      </w:r>
    </w:p>
    <w:p w:rsidR="00104E3A" w:rsidRPr="00104E3A" w:rsidRDefault="00104E3A" w:rsidP="00104E3A">
      <w:pPr>
        <w:widowControl/>
        <w:shd w:val="clear" w:color="auto" w:fill="FFFFFF"/>
        <w:jc w:val="center"/>
        <w:rPr>
          <w:rFonts w:ascii="黑体" w:eastAsia="黑体" w:hAnsi="黑体" w:cs="Arial"/>
          <w:b/>
          <w:color w:val="000000"/>
          <w:kern w:val="0"/>
          <w:sz w:val="30"/>
          <w:szCs w:val="30"/>
        </w:rPr>
      </w:pPr>
      <w:r w:rsidRPr="00104E3A">
        <w:rPr>
          <w:rFonts w:ascii="黑体" w:eastAsia="黑体" w:hAnsi="黑体" w:cs="Arial"/>
          <w:b/>
          <w:color w:val="000000"/>
          <w:kern w:val="0"/>
          <w:sz w:val="30"/>
          <w:szCs w:val="30"/>
        </w:rPr>
        <w:t>未来三年（</w:t>
      </w:r>
      <w:r w:rsidRPr="00104E3A">
        <w:rPr>
          <w:rFonts w:ascii="黑体" w:eastAsia="黑体" w:hAnsi="黑体" w:cs="Courier New"/>
          <w:b/>
          <w:color w:val="000000"/>
          <w:kern w:val="0"/>
          <w:sz w:val="30"/>
          <w:szCs w:val="30"/>
        </w:rPr>
        <w:t>2024年-2026年</w:t>
      </w:r>
      <w:r w:rsidRPr="00104E3A">
        <w:rPr>
          <w:rFonts w:ascii="黑体" w:eastAsia="黑体" w:hAnsi="黑体" w:cs="Arial"/>
          <w:b/>
          <w:color w:val="000000"/>
          <w:kern w:val="0"/>
          <w:sz w:val="30"/>
          <w:szCs w:val="30"/>
        </w:rPr>
        <w:t>）股东回报规划</w:t>
      </w:r>
    </w:p>
    <w:p w:rsidR="00104E3A" w:rsidRPr="00104E3A" w:rsidRDefault="00104E3A" w:rsidP="00104E3A">
      <w:pPr>
        <w:widowControl/>
        <w:shd w:val="clear" w:color="auto" w:fill="FFFFFF"/>
        <w:jc w:val="center"/>
        <w:rPr>
          <w:rFonts w:ascii="黑体" w:eastAsia="黑体" w:hAnsi="黑体" w:cs="Arial"/>
          <w:color w:val="000000"/>
          <w:kern w:val="0"/>
          <w:sz w:val="30"/>
          <w:szCs w:val="30"/>
        </w:rPr>
      </w:pPr>
    </w:p>
    <w:p w:rsidR="00104E3A" w:rsidRPr="00104E3A" w:rsidRDefault="00104E3A" w:rsidP="00104E3A">
      <w:pPr>
        <w:widowControl/>
        <w:shd w:val="clear" w:color="auto" w:fill="FFFFFF"/>
        <w:ind w:firstLineChars="210" w:firstLine="588"/>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t>广州恒运企业集团股份有限公司（以下简称“公司”）在关注自身发展的同时高度重视股东的合理回报。根据中国证监会《上市公司监管指引第3号——上市公司现金分红》、《关于进一步落实上市公司现金分红有关事项的通知》及广东证监局《关于进一步落实上市公司分红相关规定的通知》文件的要求，综合考虑企业盈利能力、经营发展规划、股东回报、社会资金成本以及外部融资环境等因素，公司董事会制定了《公司未来三年（2024年-2026年）股东回报规划》（以下简称“本规划”）。</w:t>
      </w:r>
    </w:p>
    <w:p w:rsidR="00104E3A" w:rsidRPr="00104E3A" w:rsidRDefault="00104E3A" w:rsidP="00104E3A">
      <w:pPr>
        <w:pStyle w:val="a3"/>
        <w:widowControl/>
        <w:numPr>
          <w:ilvl w:val="0"/>
          <w:numId w:val="1"/>
        </w:numPr>
        <w:shd w:val="clear" w:color="auto" w:fill="FFFFFF"/>
        <w:ind w:left="0" w:firstLineChars="209" w:firstLine="587"/>
        <w:jc w:val="left"/>
        <w:rPr>
          <w:rFonts w:ascii="仿宋" w:eastAsia="仿宋" w:hAnsi="仿宋" w:cs="Arial"/>
          <w:b/>
          <w:color w:val="000000"/>
          <w:kern w:val="0"/>
          <w:sz w:val="28"/>
          <w:szCs w:val="28"/>
        </w:rPr>
      </w:pPr>
      <w:r w:rsidRPr="00104E3A">
        <w:rPr>
          <w:rFonts w:ascii="仿宋" w:eastAsia="仿宋" w:hAnsi="仿宋" w:cs="Arial"/>
          <w:b/>
          <w:color w:val="000000"/>
          <w:kern w:val="0"/>
          <w:sz w:val="28"/>
          <w:szCs w:val="28"/>
        </w:rPr>
        <w:t>本规划的制定原则</w:t>
      </w:r>
    </w:p>
    <w:p w:rsidR="00104E3A" w:rsidRPr="00104E3A" w:rsidRDefault="00104E3A" w:rsidP="00104E3A">
      <w:pPr>
        <w:pStyle w:val="a3"/>
        <w:widowControl/>
        <w:shd w:val="clear" w:color="auto" w:fill="FFFFFF"/>
        <w:ind w:firstLineChars="209" w:firstLine="585"/>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t>公司应积极实施连续、稳定的股利分配政策，公司股利分配应重视对投资者的合理投资回报，并兼顾公司的可持续发展。未来三年内，公司将采取现金为主、多种形式方式分配利润。</w:t>
      </w:r>
    </w:p>
    <w:p w:rsidR="00104E3A" w:rsidRPr="00104E3A" w:rsidRDefault="00104E3A" w:rsidP="00104E3A">
      <w:pPr>
        <w:pStyle w:val="a3"/>
        <w:widowControl/>
        <w:numPr>
          <w:ilvl w:val="0"/>
          <w:numId w:val="1"/>
        </w:numPr>
        <w:shd w:val="clear" w:color="auto" w:fill="FFFFFF"/>
        <w:ind w:left="0" w:firstLineChars="209" w:firstLine="587"/>
        <w:jc w:val="left"/>
        <w:rPr>
          <w:rFonts w:ascii="仿宋" w:eastAsia="仿宋" w:hAnsi="仿宋" w:cs="Arial"/>
          <w:b/>
          <w:color w:val="000000"/>
          <w:kern w:val="0"/>
          <w:sz w:val="28"/>
          <w:szCs w:val="28"/>
        </w:rPr>
      </w:pPr>
      <w:r w:rsidRPr="00104E3A">
        <w:rPr>
          <w:rFonts w:ascii="仿宋" w:eastAsia="仿宋" w:hAnsi="仿宋" w:cs="Arial"/>
          <w:b/>
          <w:color w:val="000000"/>
          <w:kern w:val="0"/>
          <w:sz w:val="28"/>
          <w:szCs w:val="28"/>
        </w:rPr>
        <w:t>公司制定本规划考虑的因素</w:t>
      </w:r>
    </w:p>
    <w:p w:rsidR="00104E3A" w:rsidRPr="00104E3A" w:rsidRDefault="00104E3A" w:rsidP="00104E3A">
      <w:pPr>
        <w:pStyle w:val="a3"/>
        <w:widowControl/>
        <w:shd w:val="clear" w:color="auto" w:fill="FFFFFF"/>
        <w:ind w:firstLineChars="209" w:firstLine="585"/>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t>公司未来三年股东回报规划是在综合分析企业目前及未来盈利规模、经营发展规划、现金流量状况、项目投资资金需求、社会资金成本等因素的基础上，平衡股东的短期利益和长期利益的基础上做出的安排。</w:t>
      </w:r>
    </w:p>
    <w:p w:rsidR="00104E3A" w:rsidRPr="00104E3A" w:rsidRDefault="00104E3A" w:rsidP="00104E3A">
      <w:pPr>
        <w:pStyle w:val="a3"/>
        <w:widowControl/>
        <w:numPr>
          <w:ilvl w:val="0"/>
          <w:numId w:val="1"/>
        </w:numPr>
        <w:shd w:val="clear" w:color="auto" w:fill="FFFFFF"/>
        <w:ind w:left="0" w:firstLineChars="209" w:firstLine="587"/>
        <w:jc w:val="left"/>
        <w:rPr>
          <w:rFonts w:ascii="仿宋" w:eastAsia="仿宋" w:hAnsi="仿宋" w:cs="Arial"/>
          <w:b/>
          <w:color w:val="000000"/>
          <w:kern w:val="0"/>
          <w:sz w:val="28"/>
          <w:szCs w:val="28"/>
        </w:rPr>
      </w:pPr>
      <w:r w:rsidRPr="00104E3A">
        <w:rPr>
          <w:rFonts w:ascii="仿宋" w:eastAsia="仿宋" w:hAnsi="仿宋" w:cs="Arial"/>
          <w:b/>
          <w:color w:val="000000"/>
          <w:kern w:val="0"/>
          <w:sz w:val="28"/>
          <w:szCs w:val="28"/>
        </w:rPr>
        <w:t>公司未来三年（202</w:t>
      </w:r>
      <w:r>
        <w:rPr>
          <w:rFonts w:ascii="仿宋" w:eastAsia="仿宋" w:hAnsi="仿宋" w:cs="Arial" w:hint="eastAsia"/>
          <w:b/>
          <w:color w:val="000000"/>
          <w:kern w:val="0"/>
          <w:sz w:val="28"/>
          <w:szCs w:val="28"/>
        </w:rPr>
        <w:t>4</w:t>
      </w:r>
      <w:r w:rsidRPr="00104E3A">
        <w:rPr>
          <w:rFonts w:ascii="仿宋" w:eastAsia="仿宋" w:hAnsi="仿宋" w:cs="Arial"/>
          <w:b/>
          <w:color w:val="000000"/>
          <w:kern w:val="0"/>
          <w:sz w:val="28"/>
          <w:szCs w:val="28"/>
        </w:rPr>
        <w:t>年—202</w:t>
      </w:r>
      <w:r>
        <w:rPr>
          <w:rFonts w:ascii="仿宋" w:eastAsia="仿宋" w:hAnsi="仿宋" w:cs="Arial" w:hint="eastAsia"/>
          <w:b/>
          <w:color w:val="000000"/>
          <w:kern w:val="0"/>
          <w:sz w:val="28"/>
          <w:szCs w:val="28"/>
        </w:rPr>
        <w:t>6</w:t>
      </w:r>
      <w:r w:rsidRPr="00104E3A">
        <w:rPr>
          <w:rFonts w:ascii="仿宋" w:eastAsia="仿宋" w:hAnsi="仿宋" w:cs="Arial"/>
          <w:b/>
          <w:color w:val="000000"/>
          <w:kern w:val="0"/>
          <w:sz w:val="28"/>
          <w:szCs w:val="28"/>
        </w:rPr>
        <w:t>年）的具体股东回报规划：</w:t>
      </w:r>
    </w:p>
    <w:p w:rsidR="00104E3A" w:rsidRPr="00104E3A" w:rsidRDefault="00104E3A" w:rsidP="00104E3A">
      <w:pPr>
        <w:pStyle w:val="a3"/>
        <w:widowControl/>
        <w:shd w:val="clear" w:color="auto" w:fill="FFFFFF"/>
        <w:ind w:firstLineChars="209" w:firstLine="585"/>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lastRenderedPageBreak/>
        <w:t>1、当年实现的归属于上市公司股东的净利润为正数且当年末累计可分配利润为正数时，公司可以采取现金、股票或现金与股票相结合方式分配股利，可以进行中期现金分红。</w:t>
      </w:r>
    </w:p>
    <w:p w:rsidR="00104E3A" w:rsidRPr="00104E3A" w:rsidRDefault="00104E3A" w:rsidP="00104E3A">
      <w:pPr>
        <w:pStyle w:val="a3"/>
        <w:widowControl/>
        <w:shd w:val="clear" w:color="auto" w:fill="FFFFFF"/>
        <w:ind w:firstLineChars="209" w:firstLine="585"/>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t>2、未来三年内，公司将积极采取现金方式分配利润。在符合相关法律法规及公司章程和制度的有关规定和条件下，在公司盈利、现金</w:t>
      </w:r>
      <w:proofErr w:type="gramStart"/>
      <w:r w:rsidRPr="00104E3A">
        <w:rPr>
          <w:rFonts w:ascii="仿宋" w:eastAsia="仿宋" w:hAnsi="仿宋" w:cs="Arial"/>
          <w:color w:val="000000"/>
          <w:kern w:val="0"/>
          <w:sz w:val="28"/>
          <w:szCs w:val="28"/>
        </w:rPr>
        <w:t>流满足</w:t>
      </w:r>
      <w:proofErr w:type="gramEnd"/>
      <w:r w:rsidRPr="00104E3A">
        <w:rPr>
          <w:rFonts w:ascii="仿宋" w:eastAsia="仿宋" w:hAnsi="仿宋" w:cs="Arial"/>
          <w:color w:val="000000"/>
          <w:kern w:val="0"/>
          <w:sz w:val="28"/>
          <w:szCs w:val="28"/>
        </w:rPr>
        <w:t>公司正常经营需要且无重大投资计划的情况下，未来三年内，公司每年以现金方式累计分配的利润原则上不少于母公司当年税后利润弥补以前年度亏损及提取法定盈余公积金后结余的可分配利润的百分之三十。</w:t>
      </w:r>
    </w:p>
    <w:p w:rsidR="00104E3A" w:rsidRPr="00104E3A" w:rsidRDefault="00104E3A" w:rsidP="00104E3A">
      <w:pPr>
        <w:pStyle w:val="a3"/>
        <w:widowControl/>
        <w:shd w:val="clear" w:color="auto" w:fill="FFFFFF"/>
        <w:ind w:firstLineChars="209" w:firstLine="585"/>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t>3、根据公司长远和可持续发展的实际情况，董事会认为以股票股利方式分配利润符合全体股东的整体利益时，公司可以采用股票股利方式进行利润分配。</w:t>
      </w:r>
    </w:p>
    <w:p w:rsidR="00104E3A" w:rsidRPr="00104E3A" w:rsidRDefault="00104E3A" w:rsidP="00104E3A">
      <w:pPr>
        <w:pStyle w:val="a3"/>
        <w:widowControl/>
        <w:numPr>
          <w:ilvl w:val="0"/>
          <w:numId w:val="1"/>
        </w:numPr>
        <w:shd w:val="clear" w:color="auto" w:fill="FFFFFF"/>
        <w:ind w:left="0" w:firstLineChars="209" w:firstLine="587"/>
        <w:jc w:val="left"/>
        <w:rPr>
          <w:rFonts w:ascii="仿宋" w:eastAsia="仿宋" w:hAnsi="仿宋" w:cs="Arial"/>
          <w:b/>
          <w:color w:val="000000"/>
          <w:kern w:val="0"/>
          <w:sz w:val="28"/>
          <w:szCs w:val="28"/>
        </w:rPr>
      </w:pPr>
      <w:r w:rsidRPr="00104E3A">
        <w:rPr>
          <w:rFonts w:ascii="仿宋" w:eastAsia="仿宋" w:hAnsi="仿宋" w:cs="Arial"/>
          <w:b/>
          <w:color w:val="000000"/>
          <w:kern w:val="0"/>
          <w:sz w:val="28"/>
          <w:szCs w:val="28"/>
        </w:rPr>
        <w:t>本规划自公司股东大会审议通过之日起生效。</w:t>
      </w:r>
    </w:p>
    <w:p w:rsidR="00104E3A" w:rsidRPr="00104E3A" w:rsidRDefault="00104E3A" w:rsidP="00104E3A">
      <w:pPr>
        <w:pStyle w:val="a3"/>
        <w:widowControl/>
        <w:shd w:val="clear" w:color="auto" w:fill="FFFFFF"/>
        <w:ind w:firstLineChars="210" w:firstLine="588"/>
        <w:jc w:val="left"/>
        <w:rPr>
          <w:rFonts w:ascii="仿宋" w:eastAsia="仿宋" w:hAnsi="仿宋" w:cs="Arial"/>
          <w:color w:val="000000"/>
          <w:kern w:val="0"/>
          <w:sz w:val="28"/>
          <w:szCs w:val="28"/>
        </w:rPr>
      </w:pPr>
    </w:p>
    <w:p w:rsidR="00104E3A" w:rsidRPr="00104E3A" w:rsidRDefault="00104E3A" w:rsidP="00104E3A">
      <w:pPr>
        <w:widowControl/>
        <w:shd w:val="clear" w:color="auto" w:fill="FFFFFF"/>
        <w:ind w:firstLineChars="210" w:firstLine="588"/>
        <w:jc w:val="right"/>
        <w:rPr>
          <w:rFonts w:ascii="仿宋" w:eastAsia="仿宋" w:hAnsi="仿宋" w:cs="Arial"/>
          <w:color w:val="000000"/>
          <w:kern w:val="0"/>
          <w:sz w:val="28"/>
          <w:szCs w:val="28"/>
        </w:rPr>
      </w:pPr>
      <w:bookmarkStart w:id="0" w:name="_GoBack"/>
      <w:bookmarkEnd w:id="0"/>
      <w:r w:rsidRPr="00104E3A">
        <w:rPr>
          <w:rFonts w:ascii="仿宋" w:eastAsia="仿宋" w:hAnsi="仿宋" w:cs="Arial"/>
          <w:color w:val="000000"/>
          <w:kern w:val="0"/>
          <w:sz w:val="28"/>
          <w:szCs w:val="28"/>
        </w:rPr>
        <w:t>广州恒运企业集团股份有限公司董事会</w:t>
      </w:r>
    </w:p>
    <w:p w:rsidR="00104E3A" w:rsidRPr="00104E3A" w:rsidRDefault="00104E3A" w:rsidP="00104E3A">
      <w:pPr>
        <w:widowControl/>
        <w:shd w:val="clear" w:color="auto" w:fill="FFFFFF"/>
        <w:ind w:firstLineChars="210" w:firstLine="588"/>
        <w:jc w:val="right"/>
        <w:rPr>
          <w:rFonts w:ascii="仿宋" w:eastAsia="仿宋" w:hAnsi="仿宋" w:cs="Arial"/>
          <w:color w:val="000000"/>
          <w:kern w:val="0"/>
          <w:sz w:val="28"/>
          <w:szCs w:val="28"/>
        </w:rPr>
      </w:pPr>
      <w:r w:rsidRPr="00552C30">
        <w:rPr>
          <w:rFonts w:ascii="仿宋" w:eastAsia="仿宋" w:hAnsi="仿宋" w:cs="Arial"/>
          <w:color w:val="000000"/>
          <w:kern w:val="0"/>
          <w:sz w:val="28"/>
          <w:szCs w:val="28"/>
        </w:rPr>
        <w:t>202</w:t>
      </w:r>
      <w:r w:rsidRPr="00552C30">
        <w:rPr>
          <w:rFonts w:ascii="仿宋" w:eastAsia="仿宋" w:hAnsi="仿宋" w:cs="Arial" w:hint="eastAsia"/>
          <w:color w:val="000000"/>
          <w:kern w:val="0"/>
          <w:sz w:val="28"/>
          <w:szCs w:val="28"/>
        </w:rPr>
        <w:t>4</w:t>
      </w:r>
      <w:r w:rsidRPr="00552C30">
        <w:rPr>
          <w:rFonts w:ascii="仿宋" w:eastAsia="仿宋" w:hAnsi="仿宋" w:cs="Arial"/>
          <w:color w:val="000000"/>
          <w:kern w:val="0"/>
          <w:sz w:val="28"/>
          <w:szCs w:val="28"/>
        </w:rPr>
        <w:t>年</w:t>
      </w:r>
      <w:r w:rsidRPr="00552C30">
        <w:rPr>
          <w:rFonts w:ascii="仿宋" w:eastAsia="仿宋" w:hAnsi="仿宋" w:cs="Arial" w:hint="eastAsia"/>
          <w:color w:val="000000"/>
          <w:kern w:val="0"/>
          <w:sz w:val="28"/>
          <w:szCs w:val="28"/>
        </w:rPr>
        <w:t>5</w:t>
      </w:r>
      <w:r w:rsidRPr="00552C30">
        <w:rPr>
          <w:rFonts w:ascii="仿宋" w:eastAsia="仿宋" w:hAnsi="仿宋" w:cs="Arial"/>
          <w:color w:val="000000"/>
          <w:kern w:val="0"/>
          <w:sz w:val="28"/>
          <w:szCs w:val="28"/>
        </w:rPr>
        <w:t>月</w:t>
      </w:r>
      <w:r w:rsidR="00552C30" w:rsidRPr="00552C30">
        <w:rPr>
          <w:rFonts w:ascii="仿宋" w:eastAsia="仿宋" w:hAnsi="仿宋" w:cs="Arial"/>
          <w:color w:val="000000"/>
          <w:kern w:val="0"/>
          <w:sz w:val="28"/>
          <w:szCs w:val="28"/>
        </w:rPr>
        <w:t>31</w:t>
      </w:r>
      <w:r w:rsidRPr="00552C30">
        <w:rPr>
          <w:rFonts w:ascii="仿宋" w:eastAsia="仿宋" w:hAnsi="仿宋" w:cs="Arial"/>
          <w:color w:val="000000"/>
          <w:kern w:val="0"/>
          <w:sz w:val="28"/>
          <w:szCs w:val="28"/>
        </w:rPr>
        <w:t>日</w:t>
      </w:r>
    </w:p>
    <w:p w:rsidR="00395863" w:rsidRPr="00104E3A" w:rsidRDefault="00395863" w:rsidP="00104E3A">
      <w:pPr>
        <w:ind w:firstLineChars="210" w:firstLine="588"/>
        <w:jc w:val="right"/>
        <w:rPr>
          <w:rFonts w:ascii="仿宋" w:eastAsia="仿宋" w:hAnsi="仿宋"/>
          <w:sz w:val="28"/>
          <w:szCs w:val="28"/>
        </w:rPr>
      </w:pPr>
    </w:p>
    <w:sectPr w:rsidR="00395863" w:rsidRPr="00104E3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4EC"/>
    <w:rsid w:val="00104E3A"/>
    <w:rsid w:val="002571E6"/>
    <w:rsid w:val="00395863"/>
    <w:rsid w:val="00552C30"/>
    <w:rsid w:val="00D70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FDF5"/>
  <w15:docId w15:val="{39EB6AC3-D483-4A14-95C5-30227C087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4E3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3079827">
      <w:bodyDiv w:val="1"/>
      <w:marLeft w:val="0"/>
      <w:marRight w:val="0"/>
      <w:marTop w:val="0"/>
      <w:marBottom w:val="0"/>
      <w:divBdr>
        <w:top w:val="none" w:sz="0" w:space="0" w:color="auto"/>
        <w:left w:val="none" w:sz="0" w:space="0" w:color="auto"/>
        <w:bottom w:val="none" w:sz="0" w:space="0" w:color="auto"/>
        <w:right w:val="none" w:sz="0" w:space="0" w:color="auto"/>
      </w:divBdr>
      <w:divsChild>
        <w:div w:id="1277373593">
          <w:marLeft w:val="0"/>
          <w:marRight w:val="0"/>
          <w:marTop w:val="75"/>
          <w:marBottom w:val="75"/>
          <w:divBdr>
            <w:top w:val="none" w:sz="0" w:space="0" w:color="auto"/>
            <w:left w:val="none" w:sz="0" w:space="0" w:color="auto"/>
            <w:bottom w:val="none" w:sz="0" w:space="0" w:color="auto"/>
            <w:right w:val="none" w:sz="0" w:space="0" w:color="auto"/>
          </w:divBdr>
          <w:divsChild>
            <w:div w:id="29688611">
              <w:marLeft w:val="0"/>
              <w:marRight w:val="0"/>
              <w:marTop w:val="0"/>
              <w:marBottom w:val="0"/>
              <w:divBdr>
                <w:top w:val="none" w:sz="0" w:space="0" w:color="auto"/>
                <w:left w:val="none" w:sz="0" w:space="0" w:color="auto"/>
                <w:bottom w:val="none" w:sz="0" w:space="0" w:color="auto"/>
                <w:right w:val="none" w:sz="0" w:space="0" w:color="auto"/>
              </w:divBdr>
            </w:div>
          </w:divsChild>
        </w:div>
        <w:div w:id="666372158">
          <w:marLeft w:val="0"/>
          <w:marRight w:val="0"/>
          <w:marTop w:val="75"/>
          <w:marBottom w:val="75"/>
          <w:divBdr>
            <w:top w:val="none" w:sz="0" w:space="0" w:color="auto"/>
            <w:left w:val="none" w:sz="0" w:space="0" w:color="auto"/>
            <w:bottom w:val="none" w:sz="0" w:space="0" w:color="auto"/>
            <w:right w:val="none" w:sz="0" w:space="0" w:color="auto"/>
          </w:divBdr>
          <w:divsChild>
            <w:div w:id="191551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75381">
      <w:bodyDiv w:val="1"/>
      <w:marLeft w:val="0"/>
      <w:marRight w:val="0"/>
      <w:marTop w:val="0"/>
      <w:marBottom w:val="0"/>
      <w:divBdr>
        <w:top w:val="none" w:sz="0" w:space="0" w:color="auto"/>
        <w:left w:val="none" w:sz="0" w:space="0" w:color="auto"/>
        <w:bottom w:val="none" w:sz="0" w:space="0" w:color="auto"/>
        <w:right w:val="none" w:sz="0" w:space="0" w:color="auto"/>
      </w:divBdr>
      <w:divsChild>
        <w:div w:id="439497181">
          <w:marLeft w:val="0"/>
          <w:marRight w:val="0"/>
          <w:marTop w:val="75"/>
          <w:marBottom w:val="75"/>
          <w:divBdr>
            <w:top w:val="none" w:sz="0" w:space="0" w:color="auto"/>
            <w:left w:val="none" w:sz="0" w:space="0" w:color="auto"/>
            <w:bottom w:val="none" w:sz="0" w:space="0" w:color="auto"/>
            <w:right w:val="none" w:sz="0" w:space="0" w:color="auto"/>
          </w:divBdr>
          <w:divsChild>
            <w:div w:id="1243370005">
              <w:marLeft w:val="0"/>
              <w:marRight w:val="0"/>
              <w:marTop w:val="0"/>
              <w:marBottom w:val="0"/>
              <w:divBdr>
                <w:top w:val="none" w:sz="0" w:space="0" w:color="auto"/>
                <w:left w:val="none" w:sz="0" w:space="0" w:color="auto"/>
                <w:bottom w:val="none" w:sz="0" w:space="0" w:color="auto"/>
                <w:right w:val="none" w:sz="0" w:space="0" w:color="auto"/>
              </w:divBdr>
            </w:div>
          </w:divsChild>
        </w:div>
        <w:div w:id="1868517048">
          <w:marLeft w:val="0"/>
          <w:marRight w:val="0"/>
          <w:marTop w:val="75"/>
          <w:marBottom w:val="75"/>
          <w:divBdr>
            <w:top w:val="none" w:sz="0" w:space="0" w:color="auto"/>
            <w:left w:val="none" w:sz="0" w:space="0" w:color="auto"/>
            <w:bottom w:val="none" w:sz="0" w:space="0" w:color="auto"/>
            <w:right w:val="none" w:sz="0" w:space="0" w:color="auto"/>
          </w:divBdr>
          <w:divsChild>
            <w:div w:id="2482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125</Words>
  <Characters>718</Characters>
  <Application>Microsoft Office Word</Application>
  <DocSecurity>0</DocSecurity>
  <Lines>5</Lines>
  <Paragraphs>1</Paragraphs>
  <ScaleCrop>false</ScaleCrop>
  <Company>HP Inc.</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陈韵怡</dc:creator>
  <cp:keywords/>
  <dc:description/>
  <cp:lastModifiedBy>廖铁强</cp:lastModifiedBy>
  <cp:revision>3</cp:revision>
  <dcterms:created xsi:type="dcterms:W3CDTF">2024-04-28T09:08:00Z</dcterms:created>
  <dcterms:modified xsi:type="dcterms:W3CDTF">2024-05-20T06:24:00Z</dcterms:modified>
</cp:coreProperties>
</file>